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160"/>
        <w:gridCol w:w="1170"/>
        <w:gridCol w:w="965"/>
        <w:gridCol w:w="6015"/>
        <w:gridCol w:w="1120"/>
        <w:gridCol w:w="1317"/>
        <w:gridCol w:w="165"/>
      </w:tblGrid>
      <w:tr w:rsidR="009A340C" w14:paraId="5DC8D117" w14:textId="77777777">
        <w:trPr>
          <w:trHeight w:hRule="exact" w:val="170"/>
        </w:trPr>
        <w:tc>
          <w:tcPr>
            <w:tcW w:w="160" w:type="dxa"/>
            <w:shd w:val="clear" w:color="auto" w:fill="FF0000"/>
          </w:tcPr>
          <w:p w14:paraId="47CA9A82" w14:textId="77777777" w:rsidR="009A340C" w:rsidRDefault="009A340C"/>
        </w:tc>
        <w:tc>
          <w:tcPr>
            <w:tcW w:w="2135" w:type="dxa"/>
            <w:gridSpan w:val="2"/>
            <w:shd w:val="clear" w:color="auto" w:fill="FF0000"/>
            <w:vAlign w:val="center"/>
          </w:tcPr>
          <w:p w14:paraId="42964558" w14:textId="77777777" w:rsidR="009A340C" w:rsidRDefault="009A340C"/>
        </w:tc>
        <w:tc>
          <w:tcPr>
            <w:tcW w:w="6015" w:type="dxa"/>
            <w:shd w:val="clear" w:color="auto" w:fill="FF0000"/>
          </w:tcPr>
          <w:p w14:paraId="19EF0BD3" w14:textId="77777777" w:rsidR="009A340C" w:rsidRDefault="009A340C"/>
        </w:tc>
        <w:tc>
          <w:tcPr>
            <w:tcW w:w="2437" w:type="dxa"/>
            <w:gridSpan w:val="2"/>
            <w:shd w:val="clear" w:color="auto" w:fill="FF0000"/>
          </w:tcPr>
          <w:p w14:paraId="02A562BE" w14:textId="77777777" w:rsidR="009A340C" w:rsidRDefault="009A340C"/>
        </w:tc>
        <w:tc>
          <w:tcPr>
            <w:tcW w:w="165" w:type="dxa"/>
            <w:shd w:val="clear" w:color="auto" w:fill="FF0000"/>
          </w:tcPr>
          <w:p w14:paraId="1DC9B245" w14:textId="77777777" w:rsidR="009A340C" w:rsidRDefault="009A340C"/>
        </w:tc>
      </w:tr>
      <w:tr w:rsidR="009A340C" w14:paraId="69613B30" w14:textId="77777777">
        <w:tc>
          <w:tcPr>
            <w:tcW w:w="160" w:type="dxa"/>
            <w:shd w:val="clear" w:color="auto" w:fill="FF0000"/>
          </w:tcPr>
          <w:p w14:paraId="7C0A4FE5" w14:textId="77777777" w:rsidR="009A340C" w:rsidRDefault="009A340C"/>
        </w:tc>
        <w:tc>
          <w:tcPr>
            <w:tcW w:w="2135" w:type="dxa"/>
            <w:gridSpan w:val="2"/>
            <w:vAlign w:val="center"/>
          </w:tcPr>
          <w:p w14:paraId="32A7FDA7" w14:textId="4DA62C28" w:rsidR="009A340C" w:rsidRDefault="007B1C09" w:rsidP="007B1C09">
            <w:r>
              <w:t xml:space="preserve">Bereich: Werkstatt/ </w:t>
            </w:r>
            <w:proofErr w:type="spellStart"/>
            <w:r>
              <w:t>Greenkeepig</w:t>
            </w:r>
            <w:proofErr w:type="spellEnd"/>
          </w:p>
        </w:tc>
        <w:tc>
          <w:tcPr>
            <w:tcW w:w="6015" w:type="dxa"/>
          </w:tcPr>
          <w:p w14:paraId="71BAB413" w14:textId="77777777" w:rsidR="009A340C" w:rsidRDefault="009A340C">
            <w:pPr>
              <w:pStyle w:val="berschrift1"/>
            </w:pPr>
            <w:r>
              <w:t>Betriebsanweisung</w:t>
            </w:r>
          </w:p>
          <w:p w14:paraId="229B36E3" w14:textId="77777777" w:rsidR="009A340C" w:rsidRDefault="009A340C">
            <w:pPr>
              <w:pStyle w:val="berschrift2"/>
            </w:pPr>
            <w:r>
              <w:t>nach § 14 Gefahrstoffverordnung</w:t>
            </w:r>
          </w:p>
          <w:p w14:paraId="37957137" w14:textId="77777777" w:rsidR="009A340C" w:rsidRDefault="009A340C">
            <w:pPr>
              <w:pStyle w:val="berschrift2"/>
              <w:rPr>
                <w:bCs w:val="0"/>
              </w:rPr>
            </w:pPr>
            <w:r>
              <w:rPr>
                <w:bCs w:val="0"/>
              </w:rPr>
              <w:t>Dieselkraftstoff</w:t>
            </w:r>
          </w:p>
        </w:tc>
        <w:tc>
          <w:tcPr>
            <w:tcW w:w="2437" w:type="dxa"/>
            <w:gridSpan w:val="2"/>
            <w:vAlign w:val="center"/>
          </w:tcPr>
          <w:p w14:paraId="7B252125" w14:textId="357E49D6" w:rsidR="009A340C" w:rsidRDefault="007B1C09" w:rsidP="007B1C09">
            <w:r>
              <w:t>Betrieb:</w:t>
            </w:r>
          </w:p>
        </w:tc>
        <w:tc>
          <w:tcPr>
            <w:tcW w:w="165" w:type="dxa"/>
            <w:shd w:val="clear" w:color="auto" w:fill="FF0000"/>
          </w:tcPr>
          <w:p w14:paraId="5A75844C" w14:textId="77777777" w:rsidR="009A340C" w:rsidRDefault="009A340C"/>
        </w:tc>
      </w:tr>
      <w:tr w:rsidR="009A340C" w14:paraId="2053B457" w14:textId="77777777">
        <w:tc>
          <w:tcPr>
            <w:tcW w:w="160" w:type="dxa"/>
            <w:shd w:val="clear" w:color="auto" w:fill="FF0000"/>
          </w:tcPr>
          <w:p w14:paraId="522889A3" w14:textId="77777777" w:rsidR="009A340C" w:rsidRDefault="009A340C"/>
        </w:tc>
        <w:tc>
          <w:tcPr>
            <w:tcW w:w="2135" w:type="dxa"/>
            <w:gridSpan w:val="2"/>
            <w:shd w:val="clear" w:color="auto" w:fill="FF0000"/>
            <w:vAlign w:val="center"/>
          </w:tcPr>
          <w:p w14:paraId="78350CF3" w14:textId="77777777" w:rsidR="009A340C" w:rsidRDefault="009A340C"/>
        </w:tc>
        <w:tc>
          <w:tcPr>
            <w:tcW w:w="6015" w:type="dxa"/>
            <w:shd w:val="clear" w:color="auto" w:fill="FF0000"/>
          </w:tcPr>
          <w:p w14:paraId="263EC535" w14:textId="77777777" w:rsidR="009A340C" w:rsidRDefault="009A340C">
            <w:pPr>
              <w:pStyle w:val="berschrift2"/>
              <w:spacing w:before="40"/>
              <w:rPr>
                <w:color w:val="FFFFFF"/>
              </w:rPr>
            </w:pPr>
            <w:r>
              <w:rPr>
                <w:color w:val="FFFFFF"/>
              </w:rPr>
              <w:t>Anwendungsbereich</w:t>
            </w:r>
          </w:p>
        </w:tc>
        <w:tc>
          <w:tcPr>
            <w:tcW w:w="2437" w:type="dxa"/>
            <w:gridSpan w:val="2"/>
            <w:shd w:val="clear" w:color="auto" w:fill="FF0000"/>
          </w:tcPr>
          <w:p w14:paraId="512050B4" w14:textId="77777777" w:rsidR="009A340C" w:rsidRDefault="009A340C"/>
        </w:tc>
        <w:tc>
          <w:tcPr>
            <w:tcW w:w="165" w:type="dxa"/>
            <w:shd w:val="clear" w:color="auto" w:fill="FF0000"/>
          </w:tcPr>
          <w:p w14:paraId="5FC4EA0C" w14:textId="77777777" w:rsidR="009A340C" w:rsidRDefault="009A340C"/>
        </w:tc>
      </w:tr>
      <w:tr w:rsidR="009A340C" w14:paraId="46F56F1D" w14:textId="77777777">
        <w:tc>
          <w:tcPr>
            <w:tcW w:w="160" w:type="dxa"/>
            <w:shd w:val="clear" w:color="auto" w:fill="FF0000"/>
          </w:tcPr>
          <w:p w14:paraId="463A2940" w14:textId="77777777" w:rsidR="009A340C" w:rsidRDefault="009A340C"/>
        </w:tc>
        <w:tc>
          <w:tcPr>
            <w:tcW w:w="10587" w:type="dxa"/>
            <w:gridSpan w:val="5"/>
          </w:tcPr>
          <w:p w14:paraId="404D4634" w14:textId="37CCC89D" w:rsidR="009A340C" w:rsidRDefault="009A340C">
            <w:pPr>
              <w:pStyle w:val="berschrift2"/>
              <w:spacing w:before="120" w:after="120"/>
            </w:pPr>
            <w:r>
              <w:t xml:space="preserve">Betankung von </w:t>
            </w:r>
            <w:r w:rsidR="007B1C09">
              <w:t>F</w:t>
            </w:r>
            <w:r>
              <w:t>ahrzeugen</w:t>
            </w:r>
          </w:p>
        </w:tc>
        <w:tc>
          <w:tcPr>
            <w:tcW w:w="165" w:type="dxa"/>
            <w:shd w:val="clear" w:color="auto" w:fill="FF0000"/>
          </w:tcPr>
          <w:p w14:paraId="6F8B1D71" w14:textId="77777777" w:rsidR="009A340C" w:rsidRDefault="009A340C"/>
        </w:tc>
      </w:tr>
      <w:tr w:rsidR="009A340C" w14:paraId="6D634FF2" w14:textId="77777777">
        <w:tc>
          <w:tcPr>
            <w:tcW w:w="160" w:type="dxa"/>
            <w:shd w:val="clear" w:color="auto" w:fill="FF0000"/>
          </w:tcPr>
          <w:p w14:paraId="50B47723" w14:textId="77777777" w:rsidR="009A340C" w:rsidRDefault="009A340C"/>
        </w:tc>
        <w:tc>
          <w:tcPr>
            <w:tcW w:w="10587" w:type="dxa"/>
            <w:gridSpan w:val="5"/>
            <w:shd w:val="clear" w:color="auto" w:fill="FF0000"/>
            <w:vAlign w:val="center"/>
          </w:tcPr>
          <w:p w14:paraId="364B5E1F" w14:textId="77777777" w:rsidR="009A340C" w:rsidRDefault="009A340C">
            <w:pPr>
              <w:pStyle w:val="berschrift2"/>
              <w:spacing w:before="40"/>
              <w:rPr>
                <w:color w:val="FFFFFF"/>
                <w:highlight w:val="red"/>
              </w:rPr>
            </w:pPr>
            <w:r>
              <w:rPr>
                <w:color w:val="FFFFFF"/>
                <w:highlight w:val="red"/>
              </w:rPr>
              <w:t>Gefahrstoffbezeichnung</w:t>
            </w:r>
          </w:p>
        </w:tc>
        <w:tc>
          <w:tcPr>
            <w:tcW w:w="165" w:type="dxa"/>
            <w:shd w:val="clear" w:color="auto" w:fill="FF0000"/>
          </w:tcPr>
          <w:p w14:paraId="04668E07" w14:textId="77777777" w:rsidR="009A340C" w:rsidRDefault="009A340C"/>
        </w:tc>
      </w:tr>
      <w:tr w:rsidR="009A340C" w14:paraId="768BD0C7" w14:textId="77777777">
        <w:tc>
          <w:tcPr>
            <w:tcW w:w="160" w:type="dxa"/>
            <w:shd w:val="clear" w:color="auto" w:fill="FF0000"/>
          </w:tcPr>
          <w:p w14:paraId="15FEF9F7" w14:textId="77777777" w:rsidR="009A340C" w:rsidRDefault="009A340C"/>
        </w:tc>
        <w:tc>
          <w:tcPr>
            <w:tcW w:w="10587" w:type="dxa"/>
            <w:gridSpan w:val="5"/>
          </w:tcPr>
          <w:p w14:paraId="71C846BA" w14:textId="77777777" w:rsidR="009A340C" w:rsidRDefault="009A340C">
            <w:pPr>
              <w:spacing w:before="60" w:after="60"/>
              <w:jc w:val="center"/>
            </w:pPr>
            <w:r>
              <w:t xml:space="preserve">Inhaltsstoffe: Komplexes Kohlenwasserstoffgemisch aus paraffinischen, </w:t>
            </w:r>
            <w:proofErr w:type="spellStart"/>
            <w:r>
              <w:t>cycloparaffinischen</w:t>
            </w:r>
            <w:proofErr w:type="spellEnd"/>
            <w:r>
              <w:t xml:space="preserve">, aromatischen und </w:t>
            </w:r>
            <w:proofErr w:type="spellStart"/>
            <w:r>
              <w:t>olefinischen</w:t>
            </w:r>
            <w:proofErr w:type="spellEnd"/>
            <w:r>
              <w:t xml:space="preserve"> Kohlenwasserstoffen, wirkstoffhaltig.</w:t>
            </w:r>
          </w:p>
        </w:tc>
        <w:tc>
          <w:tcPr>
            <w:tcW w:w="165" w:type="dxa"/>
            <w:shd w:val="clear" w:color="auto" w:fill="FF0000"/>
          </w:tcPr>
          <w:p w14:paraId="2B4E5125" w14:textId="77777777" w:rsidR="009A340C" w:rsidRDefault="009A340C"/>
        </w:tc>
      </w:tr>
      <w:tr w:rsidR="009A340C" w14:paraId="6CAC0D20" w14:textId="77777777">
        <w:tc>
          <w:tcPr>
            <w:tcW w:w="160" w:type="dxa"/>
            <w:shd w:val="clear" w:color="auto" w:fill="FF0000"/>
          </w:tcPr>
          <w:p w14:paraId="6CD5686A" w14:textId="77777777" w:rsidR="009A340C" w:rsidRDefault="009A340C"/>
        </w:tc>
        <w:tc>
          <w:tcPr>
            <w:tcW w:w="1170" w:type="dxa"/>
            <w:shd w:val="clear" w:color="auto" w:fill="FF0000"/>
            <w:vAlign w:val="center"/>
          </w:tcPr>
          <w:p w14:paraId="521389BE" w14:textId="77777777" w:rsidR="009A340C" w:rsidRDefault="009A340C"/>
        </w:tc>
        <w:tc>
          <w:tcPr>
            <w:tcW w:w="8100" w:type="dxa"/>
            <w:gridSpan w:val="3"/>
            <w:shd w:val="clear" w:color="auto" w:fill="FF0000"/>
          </w:tcPr>
          <w:p w14:paraId="529812C4" w14:textId="77777777" w:rsidR="009A340C" w:rsidRDefault="009A340C">
            <w:pPr>
              <w:pStyle w:val="berschrift2"/>
              <w:spacing w:before="40"/>
              <w:rPr>
                <w:color w:val="FFFFFF"/>
              </w:rPr>
            </w:pPr>
            <w:r>
              <w:rPr>
                <w:color w:val="FFFFFF"/>
              </w:rPr>
              <w:t>Gefahren für Mensch und Umwelt</w:t>
            </w:r>
          </w:p>
        </w:tc>
        <w:tc>
          <w:tcPr>
            <w:tcW w:w="1317" w:type="dxa"/>
            <w:shd w:val="clear" w:color="auto" w:fill="FF0000"/>
          </w:tcPr>
          <w:p w14:paraId="2F14D3C1" w14:textId="77777777" w:rsidR="009A340C" w:rsidRDefault="009A340C"/>
        </w:tc>
        <w:tc>
          <w:tcPr>
            <w:tcW w:w="165" w:type="dxa"/>
            <w:shd w:val="clear" w:color="auto" w:fill="FF0000"/>
          </w:tcPr>
          <w:p w14:paraId="4D0C51D4" w14:textId="77777777" w:rsidR="009A340C" w:rsidRDefault="009A340C"/>
        </w:tc>
      </w:tr>
      <w:tr w:rsidR="009A340C" w14:paraId="2DA20406" w14:textId="77777777">
        <w:tc>
          <w:tcPr>
            <w:tcW w:w="160" w:type="dxa"/>
            <w:shd w:val="clear" w:color="auto" w:fill="FF0000"/>
          </w:tcPr>
          <w:p w14:paraId="1F808009" w14:textId="77777777" w:rsidR="009A340C" w:rsidRDefault="009A340C"/>
        </w:tc>
        <w:tc>
          <w:tcPr>
            <w:tcW w:w="1170" w:type="dxa"/>
            <w:vAlign w:val="center"/>
          </w:tcPr>
          <w:p w14:paraId="6B1AAD01" w14:textId="77777777" w:rsidR="009A340C" w:rsidRDefault="007B1C09">
            <w:r>
              <w:pict w14:anchorId="0AD64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49pt">
                  <v:imagedata r:id="rId7" o:title=""/>
                </v:shape>
              </w:pict>
            </w:r>
          </w:p>
          <w:p w14:paraId="1FBC930B" w14:textId="3C7AC520" w:rsidR="007B1C09" w:rsidRDefault="007B1C09">
            <w:r>
              <w:pict w14:anchorId="18EC4E0B">
                <v:shape id="_x0000_i1027" type="#_x0000_t75" style="width:49pt;height:52.5pt">
                  <v:imagedata r:id="rId8" o:title=""/>
                </v:shape>
              </w:pict>
            </w:r>
          </w:p>
        </w:tc>
        <w:tc>
          <w:tcPr>
            <w:tcW w:w="8100" w:type="dxa"/>
            <w:gridSpan w:val="3"/>
          </w:tcPr>
          <w:p w14:paraId="2061C233" w14:textId="77777777" w:rsidR="009A340C" w:rsidRDefault="009A340C">
            <w:pPr>
              <w:pStyle w:val="MitBullets"/>
              <w:numPr>
                <w:ilvl w:val="0"/>
                <w:numId w:val="20"/>
              </w:numPr>
              <w:spacing w:before="20"/>
            </w:pPr>
            <w:r>
              <w:t>Das Produkt ist gesundheitsschädlich. Beim Verschlucken können Gesundheitsschäden (Lungenschädigung) entstehen. Irreversible Schäden sind möglich. Brennbare Flüssigkeit. Wirkt hautentfettend. Häufiger Hautkontakt kann zu Hautreizungen führen. Erhöhte Entzündungsgefahr bei durchtränktem Material (z.B. Putzlappen).</w:t>
            </w:r>
          </w:p>
          <w:p w14:paraId="6163D0A7" w14:textId="77777777" w:rsidR="009A340C" w:rsidRDefault="009A340C">
            <w:pPr>
              <w:pStyle w:val="MitBullets"/>
              <w:numPr>
                <w:ilvl w:val="0"/>
                <w:numId w:val="19"/>
              </w:numPr>
              <w:rPr>
                <w:bCs/>
              </w:rPr>
            </w:pPr>
            <w:r>
              <w:t>Produkt ist giftig für Wasserorganismen und darf nicht in die Kanalisation, Wasserläufe, Erdreich gelangen lassen. Bei größeren Kontaminationen Behörden verständigen. Wassergefährdend (WGK 2).</w:t>
            </w:r>
          </w:p>
          <w:p w14:paraId="4D48845D" w14:textId="77777777" w:rsidR="009A340C" w:rsidRDefault="009A340C">
            <w:pPr>
              <w:pStyle w:val="MitBullets"/>
              <w:numPr>
                <w:ilvl w:val="0"/>
                <w:numId w:val="33"/>
              </w:numPr>
              <w:spacing w:before="0"/>
              <w:ind w:left="357" w:hanging="357"/>
              <w:rPr>
                <w:b/>
                <w:bCs/>
                <w:color w:val="FFFFFF"/>
              </w:rPr>
            </w:pPr>
          </w:p>
        </w:tc>
        <w:tc>
          <w:tcPr>
            <w:tcW w:w="1317" w:type="dxa"/>
          </w:tcPr>
          <w:p w14:paraId="3B87A788" w14:textId="77777777" w:rsidR="009A340C" w:rsidRDefault="007B1C09">
            <w:pPr>
              <w:rPr>
                <w:noProof/>
              </w:rPr>
            </w:pPr>
            <w:r>
              <w:rPr>
                <w:noProof/>
              </w:rPr>
              <w:pict w14:anchorId="2431A319">
                <v:shape id="_x0000_i1029" type="#_x0000_t75" style="width:52.5pt;height:52pt">
                  <v:imagedata r:id="rId9" o:title=""/>
                </v:shape>
              </w:pict>
            </w:r>
          </w:p>
          <w:p w14:paraId="720ABAA0" w14:textId="70C70BE6" w:rsidR="007B1C09" w:rsidRDefault="007B1C09">
            <w:r>
              <w:pict w14:anchorId="69335169">
                <v:shape id="_x0000_i1031" type="#_x0000_t75" style="width:49pt;height:49pt">
                  <v:imagedata r:id="rId10" o:title=""/>
                </v:shape>
              </w:pict>
            </w:r>
          </w:p>
        </w:tc>
        <w:tc>
          <w:tcPr>
            <w:tcW w:w="165" w:type="dxa"/>
            <w:shd w:val="clear" w:color="auto" w:fill="FF0000"/>
          </w:tcPr>
          <w:p w14:paraId="20A679F9" w14:textId="77777777" w:rsidR="009A340C" w:rsidRDefault="009A340C"/>
        </w:tc>
      </w:tr>
      <w:tr w:rsidR="009A340C" w14:paraId="2B109E72" w14:textId="77777777">
        <w:tc>
          <w:tcPr>
            <w:tcW w:w="160" w:type="dxa"/>
            <w:shd w:val="clear" w:color="auto" w:fill="FF0000"/>
          </w:tcPr>
          <w:p w14:paraId="3B81275B" w14:textId="77777777" w:rsidR="009A340C" w:rsidRDefault="009A340C"/>
        </w:tc>
        <w:tc>
          <w:tcPr>
            <w:tcW w:w="1170" w:type="dxa"/>
            <w:shd w:val="clear" w:color="auto" w:fill="FF0000"/>
            <w:vAlign w:val="center"/>
          </w:tcPr>
          <w:p w14:paraId="64CFAB58" w14:textId="77777777" w:rsidR="009A340C" w:rsidRDefault="009A340C"/>
        </w:tc>
        <w:tc>
          <w:tcPr>
            <w:tcW w:w="8100" w:type="dxa"/>
            <w:gridSpan w:val="3"/>
            <w:shd w:val="clear" w:color="auto" w:fill="FF0000"/>
          </w:tcPr>
          <w:p w14:paraId="0DED2E48" w14:textId="77777777" w:rsidR="009A340C" w:rsidRDefault="009A340C">
            <w:pPr>
              <w:pStyle w:val="berschrift2"/>
              <w:spacing w:before="40"/>
              <w:rPr>
                <w:color w:val="FFFFFF"/>
              </w:rPr>
            </w:pPr>
            <w:r>
              <w:rPr>
                <w:color w:val="FFFFFF"/>
              </w:rPr>
              <w:t>Schutzmaßnahmen und Verhaltensregeln</w:t>
            </w:r>
          </w:p>
        </w:tc>
        <w:tc>
          <w:tcPr>
            <w:tcW w:w="1317" w:type="dxa"/>
            <w:shd w:val="clear" w:color="auto" w:fill="FF0000"/>
          </w:tcPr>
          <w:p w14:paraId="5F15356E" w14:textId="77777777" w:rsidR="009A340C" w:rsidRDefault="009A340C"/>
        </w:tc>
        <w:tc>
          <w:tcPr>
            <w:tcW w:w="165" w:type="dxa"/>
            <w:shd w:val="clear" w:color="auto" w:fill="FF0000"/>
          </w:tcPr>
          <w:p w14:paraId="4BAF9C6B" w14:textId="77777777" w:rsidR="009A340C" w:rsidRDefault="009A340C"/>
        </w:tc>
      </w:tr>
      <w:tr w:rsidR="009A340C" w14:paraId="2B33869F" w14:textId="77777777">
        <w:tc>
          <w:tcPr>
            <w:tcW w:w="160" w:type="dxa"/>
            <w:shd w:val="clear" w:color="auto" w:fill="FF0000"/>
          </w:tcPr>
          <w:p w14:paraId="379B52A2" w14:textId="77777777" w:rsidR="009A340C" w:rsidRDefault="009A340C"/>
        </w:tc>
        <w:tc>
          <w:tcPr>
            <w:tcW w:w="1170" w:type="dxa"/>
            <w:vAlign w:val="center"/>
          </w:tcPr>
          <w:p w14:paraId="5CBDD4CF" w14:textId="77777777" w:rsidR="009A340C" w:rsidRDefault="005B7D80">
            <w:r>
              <w:rPr>
                <w:noProof/>
              </w:rPr>
              <w:pict w14:anchorId="2409AACD">
                <v:shape id="_x0000_s1039" type="#_x0000_t75" style="position:absolute;margin-left:1pt;margin-top:12.3pt;width:54pt;height:54pt;z-index:3;mso-position-horizontal-relative:text;mso-position-vertical-relative:text" fillcolor="window">
                  <v:imagedata r:id="rId11" o:title="VERB_031"/>
                </v:shape>
              </w:pict>
            </w:r>
          </w:p>
        </w:tc>
        <w:tc>
          <w:tcPr>
            <w:tcW w:w="8100" w:type="dxa"/>
            <w:gridSpan w:val="3"/>
          </w:tcPr>
          <w:p w14:paraId="7999FFBC" w14:textId="77777777" w:rsidR="009A340C" w:rsidRDefault="009A340C">
            <w:pPr>
              <w:pStyle w:val="MitBullets"/>
              <w:numPr>
                <w:ilvl w:val="0"/>
                <w:numId w:val="23"/>
              </w:numPr>
              <w:spacing w:before="20"/>
            </w:pPr>
            <w:r>
              <w:rPr>
                <w:b/>
              </w:rPr>
              <w:t>Lagerung:</w:t>
            </w:r>
            <w:r>
              <w:t xml:space="preserve"> Aufbewahrung und Handhabung nur in geschlossenen Behältern in kühler und ausreichend belüfteter Umgebung. Wärmeeinwirkung vermeiden. Nicht zusammen mit Oxidationsmitteln (z.B. Wasserstoffperoxid, Kaliumpermanganat, rauchende Salpetersäure) lagern.</w:t>
            </w:r>
          </w:p>
          <w:p w14:paraId="23F4B6C6" w14:textId="77777777" w:rsidR="009A340C" w:rsidRDefault="009A340C">
            <w:pPr>
              <w:pStyle w:val="MitBullets"/>
              <w:numPr>
                <w:ilvl w:val="0"/>
                <w:numId w:val="23"/>
              </w:numPr>
              <w:spacing w:before="20"/>
            </w:pPr>
            <w:r>
              <w:rPr>
                <w:b/>
              </w:rPr>
              <w:t>Handhabung:</w:t>
            </w:r>
            <w:r>
              <w:t xml:space="preserve"> Zündquellen aller Arten fernhalten. Bei offener Handhabung Bildung explosionsfähiger/leichtentzündlicher Luft-/Dampf-Gemische möglich. Leckagen an Behältern vermeiden. Bei der Arbeit nicht essen, trinken, rauchen. </w:t>
            </w:r>
            <w:proofErr w:type="gramStart"/>
            <w:r>
              <w:t>Darf</w:t>
            </w:r>
            <w:proofErr w:type="gramEnd"/>
            <w:r>
              <w:t xml:space="preserve"> nicht in die Hände von Kindern gelangen.</w:t>
            </w:r>
          </w:p>
          <w:p w14:paraId="7E149DEC" w14:textId="77777777" w:rsidR="009A340C" w:rsidRDefault="009A340C">
            <w:pPr>
              <w:pStyle w:val="MitBullets"/>
              <w:numPr>
                <w:ilvl w:val="0"/>
                <w:numId w:val="23"/>
              </w:numPr>
            </w:pPr>
            <w:r>
              <w:rPr>
                <w:b/>
              </w:rPr>
              <w:t>!</w:t>
            </w:r>
            <w:r>
              <w:t xml:space="preserve"> Beim direkten Umgang mit dem Produkt (Umfüllen, Tanken) sind die angegebenen Schutzmaßnahmen unbedingt zu beachten.</w:t>
            </w:r>
          </w:p>
          <w:p w14:paraId="77FB5853" w14:textId="77777777" w:rsidR="009A340C" w:rsidRDefault="009A340C">
            <w:pPr>
              <w:spacing w:before="40" w:after="40"/>
              <w:rPr>
                <w:b/>
                <w:bCs/>
                <w:color w:val="FFFFFF"/>
              </w:rPr>
            </w:pPr>
          </w:p>
        </w:tc>
        <w:tc>
          <w:tcPr>
            <w:tcW w:w="1317" w:type="dxa"/>
          </w:tcPr>
          <w:p w14:paraId="00785015" w14:textId="77777777" w:rsidR="009A340C" w:rsidRDefault="005B7D80">
            <w:r>
              <w:rPr>
                <w:noProof/>
              </w:rPr>
              <w:pict w14:anchorId="21EA32F9">
                <v:shape id="_x0000_s1038" type="#_x0000_t75" style="position:absolute;margin-left:5.5pt;margin-top:12.3pt;width:54pt;height:54pt;z-index:2;mso-position-horizontal-relative:text;mso-position-vertical-relative:text" fillcolor="window">
                  <v:imagedata r:id="rId12" o:title="VERB_033"/>
                </v:shape>
              </w:pict>
            </w:r>
          </w:p>
        </w:tc>
        <w:tc>
          <w:tcPr>
            <w:tcW w:w="165" w:type="dxa"/>
            <w:shd w:val="clear" w:color="auto" w:fill="FF0000"/>
          </w:tcPr>
          <w:p w14:paraId="22A4E6B6" w14:textId="77777777" w:rsidR="009A340C" w:rsidRDefault="009A340C"/>
        </w:tc>
      </w:tr>
      <w:tr w:rsidR="009A340C" w14:paraId="3EE84A52" w14:textId="77777777">
        <w:tc>
          <w:tcPr>
            <w:tcW w:w="160" w:type="dxa"/>
            <w:shd w:val="clear" w:color="auto" w:fill="FF0000"/>
          </w:tcPr>
          <w:p w14:paraId="72C05112" w14:textId="77777777" w:rsidR="009A340C" w:rsidRDefault="009A340C"/>
        </w:tc>
        <w:tc>
          <w:tcPr>
            <w:tcW w:w="1170" w:type="dxa"/>
            <w:shd w:val="clear" w:color="auto" w:fill="FF0000"/>
            <w:vAlign w:val="center"/>
          </w:tcPr>
          <w:p w14:paraId="56F316C9" w14:textId="77777777" w:rsidR="009A340C" w:rsidRDefault="009A340C"/>
        </w:tc>
        <w:tc>
          <w:tcPr>
            <w:tcW w:w="8100" w:type="dxa"/>
            <w:gridSpan w:val="3"/>
            <w:shd w:val="clear" w:color="auto" w:fill="FF0000"/>
          </w:tcPr>
          <w:p w14:paraId="46BE0D30" w14:textId="77777777" w:rsidR="009A340C" w:rsidRDefault="009A340C">
            <w:pPr>
              <w:pStyle w:val="berschrift2"/>
              <w:spacing w:before="40"/>
              <w:rPr>
                <w:color w:val="FFFFFF"/>
              </w:rPr>
            </w:pPr>
            <w:r>
              <w:rPr>
                <w:color w:val="FFFFFF"/>
              </w:rPr>
              <w:t>Verhalten im Gefahrfall</w:t>
            </w:r>
          </w:p>
        </w:tc>
        <w:tc>
          <w:tcPr>
            <w:tcW w:w="1317" w:type="dxa"/>
            <w:shd w:val="clear" w:color="auto" w:fill="FF0000"/>
          </w:tcPr>
          <w:p w14:paraId="040CC10F" w14:textId="77777777" w:rsidR="009A340C" w:rsidRDefault="009A340C"/>
        </w:tc>
        <w:tc>
          <w:tcPr>
            <w:tcW w:w="165" w:type="dxa"/>
            <w:shd w:val="clear" w:color="auto" w:fill="FF0000"/>
          </w:tcPr>
          <w:p w14:paraId="78570F06" w14:textId="77777777" w:rsidR="009A340C" w:rsidRDefault="009A340C"/>
        </w:tc>
      </w:tr>
      <w:tr w:rsidR="009A340C" w14:paraId="0CA9E9E1" w14:textId="77777777">
        <w:tc>
          <w:tcPr>
            <w:tcW w:w="160" w:type="dxa"/>
            <w:shd w:val="clear" w:color="auto" w:fill="FF0000"/>
          </w:tcPr>
          <w:p w14:paraId="7078106A" w14:textId="77777777" w:rsidR="009A340C" w:rsidRDefault="009A340C"/>
        </w:tc>
        <w:tc>
          <w:tcPr>
            <w:tcW w:w="1170" w:type="dxa"/>
            <w:vAlign w:val="center"/>
          </w:tcPr>
          <w:p w14:paraId="491AB089" w14:textId="77777777" w:rsidR="009A340C" w:rsidRDefault="009A340C"/>
        </w:tc>
        <w:tc>
          <w:tcPr>
            <w:tcW w:w="8100" w:type="dxa"/>
            <w:gridSpan w:val="3"/>
            <w:vAlign w:val="bottom"/>
          </w:tcPr>
          <w:p w14:paraId="1FF365B1" w14:textId="77777777" w:rsidR="009A340C" w:rsidRDefault="009A340C">
            <w:pPr>
              <w:pStyle w:val="MitBullets"/>
              <w:numPr>
                <w:ilvl w:val="0"/>
                <w:numId w:val="24"/>
              </w:numPr>
              <w:spacing w:before="20"/>
            </w:pPr>
            <w:r>
              <w:t xml:space="preserve">Nach </w:t>
            </w:r>
            <w:r>
              <w:rPr>
                <w:b/>
              </w:rPr>
              <w:t>unbeabsichtigter Freisetzung:</w:t>
            </w:r>
            <w:r>
              <w:t xml:space="preserve"> Achtung, Rutschgefahr! Einatmen der Kraftstoffdämpfe vermeiden! Gründliche Belüftung. Leck schließen. Produkt, soweit möglich, mechanisch aufnehmen. Reste mit flüssigkeitsbindendem Material (z.B. Sand, Sägemehl, Universalbinder, Kieselgur) aufnehmen und vorschriftsmäßig beseitigen. Achtung, verdampftes Produkt breitet sich am Boden aus! </w:t>
            </w:r>
          </w:p>
          <w:p w14:paraId="5790FCAF" w14:textId="77777777" w:rsidR="009A340C" w:rsidRDefault="009A340C">
            <w:pPr>
              <w:pStyle w:val="MitBullets"/>
              <w:numPr>
                <w:ilvl w:val="0"/>
                <w:numId w:val="24"/>
              </w:numPr>
              <w:spacing w:before="20"/>
            </w:pPr>
            <w:r>
              <w:t xml:space="preserve">Im </w:t>
            </w:r>
            <w:r>
              <w:rPr>
                <w:b/>
              </w:rPr>
              <w:t>Brandfall:</w:t>
            </w:r>
            <w:r>
              <w:t xml:space="preserve"> Alle Zündquellen entfernen. Ggf. umlufttunabhängiges Atemschutzgerät tragen. Ungeschützte Personen fernhalten. Kühlung gefährdeter Behälter mit Wassersprühstrahl.</w:t>
            </w:r>
          </w:p>
          <w:p w14:paraId="703AA70E" w14:textId="77777777" w:rsidR="009A340C" w:rsidRDefault="009A340C">
            <w:pPr>
              <w:pStyle w:val="MitBullets"/>
              <w:numPr>
                <w:ilvl w:val="0"/>
                <w:numId w:val="24"/>
              </w:numPr>
              <w:spacing w:before="20"/>
            </w:pPr>
            <w:r>
              <w:t xml:space="preserve">Löschmittel: Schaum, Kohlendioxid, Trockenlöschmittel, Sand, Wassernebel, </w:t>
            </w:r>
            <w:r>
              <w:rPr>
                <w:u w:val="single"/>
              </w:rPr>
              <w:t>kein</w:t>
            </w:r>
            <w:r>
              <w:t xml:space="preserve"> Wasservollstrahl.</w:t>
            </w:r>
          </w:p>
          <w:p w14:paraId="1527A9FE" w14:textId="77777777" w:rsidR="009A340C" w:rsidRDefault="009A340C" w:rsidP="002C6662">
            <w:pPr>
              <w:pStyle w:val="MitBullets"/>
              <w:numPr>
                <w:ilvl w:val="0"/>
                <w:numId w:val="0"/>
              </w:numPr>
            </w:pPr>
          </w:p>
        </w:tc>
        <w:tc>
          <w:tcPr>
            <w:tcW w:w="1317" w:type="dxa"/>
          </w:tcPr>
          <w:p w14:paraId="2DB129F3" w14:textId="77777777" w:rsidR="009A340C" w:rsidRDefault="009A340C"/>
        </w:tc>
        <w:tc>
          <w:tcPr>
            <w:tcW w:w="165" w:type="dxa"/>
            <w:shd w:val="clear" w:color="auto" w:fill="FF0000"/>
          </w:tcPr>
          <w:p w14:paraId="00A31D5B" w14:textId="77777777" w:rsidR="009A340C" w:rsidRDefault="009A340C"/>
        </w:tc>
      </w:tr>
      <w:tr w:rsidR="009A340C" w14:paraId="53C95D62" w14:textId="77777777">
        <w:tc>
          <w:tcPr>
            <w:tcW w:w="160" w:type="dxa"/>
            <w:shd w:val="clear" w:color="auto" w:fill="FF0000"/>
          </w:tcPr>
          <w:p w14:paraId="6D7E0A98" w14:textId="77777777" w:rsidR="009A340C" w:rsidRDefault="009A340C"/>
        </w:tc>
        <w:tc>
          <w:tcPr>
            <w:tcW w:w="1170" w:type="dxa"/>
            <w:shd w:val="clear" w:color="auto" w:fill="FF0000"/>
            <w:vAlign w:val="center"/>
          </w:tcPr>
          <w:p w14:paraId="176954DB" w14:textId="77777777" w:rsidR="009A340C" w:rsidRDefault="009A340C"/>
        </w:tc>
        <w:tc>
          <w:tcPr>
            <w:tcW w:w="8100" w:type="dxa"/>
            <w:gridSpan w:val="3"/>
            <w:shd w:val="clear" w:color="auto" w:fill="FF0000"/>
          </w:tcPr>
          <w:p w14:paraId="3EE91985" w14:textId="77777777" w:rsidR="009A340C" w:rsidRDefault="009A340C">
            <w:pPr>
              <w:pStyle w:val="berschrift2"/>
              <w:spacing w:before="40"/>
              <w:rPr>
                <w:color w:val="FFFFFF"/>
              </w:rPr>
            </w:pPr>
            <w:r>
              <w:rPr>
                <w:color w:val="FFFFFF"/>
              </w:rPr>
              <w:t>Erste Hilfe</w:t>
            </w:r>
          </w:p>
        </w:tc>
        <w:tc>
          <w:tcPr>
            <w:tcW w:w="1317" w:type="dxa"/>
            <w:shd w:val="clear" w:color="auto" w:fill="FF0000"/>
          </w:tcPr>
          <w:p w14:paraId="0F84D37E" w14:textId="77777777" w:rsidR="009A340C" w:rsidRDefault="009A340C"/>
        </w:tc>
        <w:tc>
          <w:tcPr>
            <w:tcW w:w="165" w:type="dxa"/>
            <w:shd w:val="clear" w:color="auto" w:fill="FF0000"/>
          </w:tcPr>
          <w:p w14:paraId="75B249E2" w14:textId="77777777" w:rsidR="009A340C" w:rsidRDefault="009A340C"/>
        </w:tc>
      </w:tr>
      <w:tr w:rsidR="009A340C" w14:paraId="20560B28" w14:textId="77777777">
        <w:tc>
          <w:tcPr>
            <w:tcW w:w="160" w:type="dxa"/>
            <w:shd w:val="clear" w:color="auto" w:fill="FF0000"/>
          </w:tcPr>
          <w:p w14:paraId="6F106339" w14:textId="77777777" w:rsidR="009A340C" w:rsidRDefault="009A340C"/>
        </w:tc>
        <w:tc>
          <w:tcPr>
            <w:tcW w:w="1170" w:type="dxa"/>
            <w:vAlign w:val="center"/>
          </w:tcPr>
          <w:p w14:paraId="62BB6DC0" w14:textId="77777777" w:rsidR="009A340C" w:rsidRDefault="005B7D80">
            <w:r>
              <w:rPr>
                <w:noProof/>
              </w:rPr>
              <w:pict w14:anchorId="30B22C49">
                <v:shape id="_x0000_s1034" type="#_x0000_t75" style="position:absolute;margin-left:1.25pt;margin-top:12.4pt;width:45.05pt;height:45.05pt;z-index:1;mso-wrap-edited:f;mso-position-horizontal-relative:text;mso-position-vertical-relative:text" wrapcoords="-273 0 -273 21327 21600 21327 21600 0 -273 0" fillcolor="window">
                  <v:imagedata r:id="rId13" o:title=""/>
                  <w10:wrap type="tight"/>
                </v:shape>
              </w:pict>
            </w:r>
          </w:p>
        </w:tc>
        <w:tc>
          <w:tcPr>
            <w:tcW w:w="8100" w:type="dxa"/>
            <w:gridSpan w:val="3"/>
          </w:tcPr>
          <w:p w14:paraId="4B6E5C41" w14:textId="77777777" w:rsidR="009A340C" w:rsidRDefault="009A340C">
            <w:pPr>
              <w:pStyle w:val="MitBullets"/>
              <w:numPr>
                <w:ilvl w:val="0"/>
                <w:numId w:val="25"/>
              </w:numPr>
              <w:spacing w:before="20"/>
            </w:pPr>
            <w:r>
              <w:t xml:space="preserve">Nach </w:t>
            </w:r>
            <w:r>
              <w:rPr>
                <w:b/>
              </w:rPr>
              <w:t>Hautkontakt</w:t>
            </w:r>
            <w:r>
              <w:t>: Mit Wasser und Seife gründlich abwaschen. Ggf. Arzt aufsuchen.</w:t>
            </w:r>
          </w:p>
          <w:p w14:paraId="63D60CF7" w14:textId="77777777" w:rsidR="009A340C" w:rsidRDefault="009A340C">
            <w:pPr>
              <w:pStyle w:val="MitBullets"/>
              <w:numPr>
                <w:ilvl w:val="0"/>
                <w:numId w:val="25"/>
              </w:numPr>
              <w:spacing w:before="20"/>
            </w:pPr>
            <w:r>
              <w:t xml:space="preserve">Nach </w:t>
            </w:r>
            <w:r>
              <w:rPr>
                <w:b/>
              </w:rPr>
              <w:t>Augenkontakt</w:t>
            </w:r>
            <w:r>
              <w:t>: Geöffnete Augenlider mehrere Minuten unter fließendem Wasser ausspülen. Sofort Arzt hinzuziehen.</w:t>
            </w:r>
          </w:p>
          <w:p w14:paraId="25BC5A64" w14:textId="77777777" w:rsidR="009A340C" w:rsidRDefault="009A340C">
            <w:pPr>
              <w:pStyle w:val="MitBullets"/>
              <w:numPr>
                <w:ilvl w:val="0"/>
                <w:numId w:val="25"/>
              </w:numPr>
              <w:spacing w:before="20"/>
            </w:pPr>
            <w:r>
              <w:t xml:space="preserve">Nach </w:t>
            </w:r>
            <w:r>
              <w:rPr>
                <w:b/>
              </w:rPr>
              <w:t>Verschlucken</w:t>
            </w:r>
            <w:r>
              <w:t xml:space="preserve">: </w:t>
            </w:r>
            <w:r>
              <w:rPr>
                <w:u w:val="single"/>
              </w:rPr>
              <w:t>Kein</w:t>
            </w:r>
            <w:r>
              <w:t xml:space="preserve"> Erbrechen auslösen, sofort Arzt hinzuziehen.</w:t>
            </w:r>
          </w:p>
          <w:p w14:paraId="45E46F11" w14:textId="77777777" w:rsidR="009A340C" w:rsidRDefault="009A340C">
            <w:pPr>
              <w:pStyle w:val="MitBullets"/>
              <w:numPr>
                <w:ilvl w:val="0"/>
                <w:numId w:val="25"/>
              </w:numPr>
              <w:spacing w:before="20"/>
            </w:pPr>
            <w:r>
              <w:t xml:space="preserve">Nach </w:t>
            </w:r>
            <w:r>
              <w:rPr>
                <w:b/>
              </w:rPr>
              <w:t>Einatmen</w:t>
            </w:r>
            <w:r>
              <w:t>: Frischluftzufuhr, bei Atemstillstand Atemspende. Bei Bewusstlosigkeit stabile Seitenlage. Sofort Arzt hinzuziehen.</w:t>
            </w:r>
          </w:p>
          <w:p w14:paraId="6785B69D" w14:textId="77777777" w:rsidR="009A340C" w:rsidRDefault="009A340C">
            <w:pPr>
              <w:pStyle w:val="MitBullets"/>
              <w:numPr>
                <w:ilvl w:val="0"/>
                <w:numId w:val="25"/>
              </w:numPr>
              <w:spacing w:before="20"/>
            </w:pPr>
            <w:r>
              <w:t xml:space="preserve">Nach </w:t>
            </w:r>
            <w:r>
              <w:rPr>
                <w:b/>
              </w:rPr>
              <w:t>Kleidungskontakt</w:t>
            </w:r>
            <w:r>
              <w:t>: Benetzte Kleidung sofort ausziehen.</w:t>
            </w:r>
          </w:p>
          <w:p w14:paraId="0FBBA444" w14:textId="77777777" w:rsidR="009A340C" w:rsidRDefault="009A340C">
            <w:pPr>
              <w:numPr>
                <w:ilvl w:val="0"/>
                <w:numId w:val="25"/>
              </w:numPr>
              <w:tabs>
                <w:tab w:val="clear" w:pos="360"/>
                <w:tab w:val="num" w:pos="110"/>
              </w:tabs>
              <w:ind w:left="110" w:hanging="110"/>
            </w:pPr>
            <w:r>
              <w:t>Ersthelfer:</w:t>
            </w:r>
          </w:p>
        </w:tc>
        <w:tc>
          <w:tcPr>
            <w:tcW w:w="1317" w:type="dxa"/>
          </w:tcPr>
          <w:p w14:paraId="2C998884" w14:textId="77777777" w:rsidR="009A340C" w:rsidRDefault="009A340C"/>
        </w:tc>
        <w:tc>
          <w:tcPr>
            <w:tcW w:w="165" w:type="dxa"/>
            <w:shd w:val="clear" w:color="auto" w:fill="FF0000"/>
          </w:tcPr>
          <w:p w14:paraId="1916F231" w14:textId="77777777" w:rsidR="009A340C" w:rsidRDefault="009A340C"/>
        </w:tc>
      </w:tr>
      <w:tr w:rsidR="009A340C" w14:paraId="110FD949" w14:textId="77777777">
        <w:tc>
          <w:tcPr>
            <w:tcW w:w="160" w:type="dxa"/>
            <w:shd w:val="clear" w:color="auto" w:fill="FF0000"/>
          </w:tcPr>
          <w:p w14:paraId="1FF6D0B4" w14:textId="77777777" w:rsidR="009A340C" w:rsidRDefault="009A340C"/>
        </w:tc>
        <w:tc>
          <w:tcPr>
            <w:tcW w:w="1170" w:type="dxa"/>
            <w:shd w:val="clear" w:color="auto" w:fill="FF0000"/>
            <w:vAlign w:val="center"/>
          </w:tcPr>
          <w:p w14:paraId="5AB154B1" w14:textId="77777777" w:rsidR="009A340C" w:rsidRDefault="009A340C"/>
        </w:tc>
        <w:tc>
          <w:tcPr>
            <w:tcW w:w="8100" w:type="dxa"/>
            <w:gridSpan w:val="3"/>
            <w:shd w:val="clear" w:color="auto" w:fill="FF0000"/>
          </w:tcPr>
          <w:p w14:paraId="600AF931" w14:textId="77777777" w:rsidR="009A340C" w:rsidRDefault="009A340C">
            <w:pPr>
              <w:pStyle w:val="berschrift4"/>
              <w:spacing w:before="20"/>
              <w:ind w:left="108" w:hanging="108"/>
              <w:rPr>
                <w:color w:val="FFFFFF"/>
                <w:sz w:val="24"/>
              </w:rPr>
            </w:pPr>
            <w:r>
              <w:rPr>
                <w:color w:val="FFFFFF"/>
                <w:sz w:val="24"/>
              </w:rPr>
              <w:t>Instandhaltung, Entsorgung</w:t>
            </w:r>
          </w:p>
        </w:tc>
        <w:tc>
          <w:tcPr>
            <w:tcW w:w="1317" w:type="dxa"/>
            <w:shd w:val="clear" w:color="auto" w:fill="FF0000"/>
          </w:tcPr>
          <w:p w14:paraId="2006C669" w14:textId="77777777" w:rsidR="009A340C" w:rsidRDefault="009A340C"/>
        </w:tc>
        <w:tc>
          <w:tcPr>
            <w:tcW w:w="165" w:type="dxa"/>
            <w:shd w:val="clear" w:color="auto" w:fill="FF0000"/>
          </w:tcPr>
          <w:p w14:paraId="3EF67C6B" w14:textId="77777777" w:rsidR="009A340C" w:rsidRDefault="009A340C"/>
        </w:tc>
      </w:tr>
      <w:tr w:rsidR="009A340C" w14:paraId="56FE5CCF" w14:textId="77777777">
        <w:trPr>
          <w:trHeight w:val="425"/>
        </w:trPr>
        <w:tc>
          <w:tcPr>
            <w:tcW w:w="160" w:type="dxa"/>
            <w:shd w:val="clear" w:color="auto" w:fill="FF0000"/>
          </w:tcPr>
          <w:p w14:paraId="280F72C7" w14:textId="77777777" w:rsidR="009A340C" w:rsidRDefault="009A340C"/>
        </w:tc>
        <w:tc>
          <w:tcPr>
            <w:tcW w:w="1170" w:type="dxa"/>
            <w:vAlign w:val="center"/>
          </w:tcPr>
          <w:p w14:paraId="73B30B0A" w14:textId="77777777" w:rsidR="009A340C" w:rsidRDefault="009A340C"/>
        </w:tc>
        <w:tc>
          <w:tcPr>
            <w:tcW w:w="8100" w:type="dxa"/>
            <w:gridSpan w:val="3"/>
          </w:tcPr>
          <w:p w14:paraId="36BB7B2A" w14:textId="77777777" w:rsidR="009A340C" w:rsidRDefault="009A340C"/>
          <w:p w14:paraId="5170CFE6" w14:textId="77777777" w:rsidR="009A340C" w:rsidRDefault="009A340C"/>
        </w:tc>
        <w:tc>
          <w:tcPr>
            <w:tcW w:w="1317" w:type="dxa"/>
          </w:tcPr>
          <w:p w14:paraId="6FE49BFE" w14:textId="77777777" w:rsidR="009A340C" w:rsidRDefault="009A340C"/>
        </w:tc>
        <w:tc>
          <w:tcPr>
            <w:tcW w:w="165" w:type="dxa"/>
            <w:shd w:val="clear" w:color="auto" w:fill="FF0000"/>
          </w:tcPr>
          <w:p w14:paraId="30415FA0" w14:textId="77777777" w:rsidR="009A340C" w:rsidRDefault="009A340C"/>
        </w:tc>
      </w:tr>
      <w:tr w:rsidR="009A340C" w14:paraId="5749D25C" w14:textId="77777777">
        <w:trPr>
          <w:trHeight w:hRule="exact" w:val="170"/>
        </w:trPr>
        <w:tc>
          <w:tcPr>
            <w:tcW w:w="160" w:type="dxa"/>
            <w:shd w:val="clear" w:color="auto" w:fill="FF0000"/>
          </w:tcPr>
          <w:p w14:paraId="773B4950" w14:textId="77777777" w:rsidR="009A340C" w:rsidRDefault="009A340C"/>
        </w:tc>
        <w:tc>
          <w:tcPr>
            <w:tcW w:w="1170" w:type="dxa"/>
            <w:shd w:val="clear" w:color="auto" w:fill="FF0000"/>
            <w:vAlign w:val="center"/>
          </w:tcPr>
          <w:p w14:paraId="38787348" w14:textId="77777777" w:rsidR="009A340C" w:rsidRDefault="009A340C"/>
        </w:tc>
        <w:tc>
          <w:tcPr>
            <w:tcW w:w="8100" w:type="dxa"/>
            <w:gridSpan w:val="3"/>
            <w:shd w:val="clear" w:color="auto" w:fill="FF0000"/>
          </w:tcPr>
          <w:p w14:paraId="7FEB5650" w14:textId="77777777" w:rsidR="009A340C" w:rsidRDefault="009A340C"/>
        </w:tc>
        <w:tc>
          <w:tcPr>
            <w:tcW w:w="1317" w:type="dxa"/>
            <w:shd w:val="clear" w:color="auto" w:fill="FF0000"/>
          </w:tcPr>
          <w:p w14:paraId="025B2E02" w14:textId="77777777" w:rsidR="009A340C" w:rsidRDefault="009A340C"/>
        </w:tc>
        <w:tc>
          <w:tcPr>
            <w:tcW w:w="165" w:type="dxa"/>
            <w:shd w:val="clear" w:color="auto" w:fill="FF0000"/>
          </w:tcPr>
          <w:p w14:paraId="7F00A869" w14:textId="77777777" w:rsidR="009A340C" w:rsidRDefault="009A340C"/>
        </w:tc>
      </w:tr>
    </w:tbl>
    <w:p w14:paraId="4617FAE6" w14:textId="1899E95D" w:rsidR="009A340C" w:rsidRDefault="007B1C09">
      <w:r>
        <w:t>Datum:</w:t>
      </w:r>
    </w:p>
    <w:p w14:paraId="707B3ACF" w14:textId="77777777" w:rsidR="002C6662" w:rsidRDefault="002C6662"/>
    <w:sectPr w:rsidR="002C6662">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A077" w14:textId="77777777" w:rsidR="005B7D80" w:rsidRDefault="005B7D80" w:rsidP="007B1C09">
      <w:r>
        <w:separator/>
      </w:r>
    </w:p>
  </w:endnote>
  <w:endnote w:type="continuationSeparator" w:id="0">
    <w:p w14:paraId="0BDF1EFA" w14:textId="77777777" w:rsidR="005B7D80" w:rsidRDefault="005B7D80" w:rsidP="007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0AA7" w14:textId="7481D288" w:rsidR="007B1C09" w:rsidRPr="007B1C09" w:rsidRDefault="007B1C09">
    <w:pPr>
      <w:pStyle w:val="Fuzeile"/>
      <w:rPr>
        <w:rFonts w:ascii="Arial" w:hAnsi="Arial" w:cs="Arial"/>
        <w:sz w:val="16"/>
        <w:szCs w:val="16"/>
      </w:rPr>
    </w:pPr>
    <w:r w:rsidRPr="007B1C09">
      <w:rPr>
        <w:rFonts w:ascii="Arial" w:hAnsi="Arial" w:cs="Arial"/>
        <w:sz w:val="16"/>
        <w:szCs w:val="16"/>
      </w:rPr>
      <w:fldChar w:fldCharType="begin"/>
    </w:r>
    <w:r w:rsidRPr="007B1C09">
      <w:rPr>
        <w:rFonts w:ascii="Arial" w:hAnsi="Arial" w:cs="Arial"/>
        <w:sz w:val="16"/>
        <w:szCs w:val="16"/>
      </w:rPr>
      <w:instrText xml:space="preserve"> FILENAME   \* MERGEFORMAT </w:instrText>
    </w:r>
    <w:r w:rsidRPr="007B1C09">
      <w:rPr>
        <w:rFonts w:ascii="Arial" w:hAnsi="Arial" w:cs="Arial"/>
        <w:sz w:val="16"/>
        <w:szCs w:val="16"/>
      </w:rPr>
      <w:fldChar w:fldCharType="separate"/>
    </w:r>
    <w:r w:rsidRPr="007B1C09">
      <w:rPr>
        <w:rFonts w:ascii="Arial" w:hAnsi="Arial" w:cs="Arial"/>
        <w:noProof/>
        <w:sz w:val="16"/>
        <w:szCs w:val="16"/>
      </w:rPr>
      <w:t>bag-diesel kraftstoffe</w:t>
    </w:r>
    <w:r w:rsidRPr="007B1C09">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AUTHOR   \* MERGEFORMAT </w:instrText>
    </w:r>
    <w:r>
      <w:rPr>
        <w:rFonts w:ascii="Arial" w:hAnsi="Arial" w:cs="Arial"/>
        <w:sz w:val="16"/>
        <w:szCs w:val="16"/>
      </w:rPr>
      <w:fldChar w:fldCharType="separate"/>
    </w:r>
    <w:r>
      <w:rPr>
        <w:rFonts w:ascii="Arial" w:hAnsi="Arial" w:cs="Arial"/>
        <w:noProof/>
        <w:sz w:val="16"/>
        <w:szCs w:val="16"/>
      </w:rPr>
      <w:t>fu-ing-büro</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952A" w14:textId="77777777" w:rsidR="005B7D80" w:rsidRDefault="005B7D80" w:rsidP="007B1C09">
      <w:r>
        <w:separator/>
      </w:r>
    </w:p>
  </w:footnote>
  <w:footnote w:type="continuationSeparator" w:id="0">
    <w:p w14:paraId="20B2FFCA" w14:textId="77777777" w:rsidR="005B7D80" w:rsidRDefault="005B7D80" w:rsidP="007B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373"/>
    <w:multiLevelType w:val="hybridMultilevel"/>
    <w:tmpl w:val="DEA853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767B9"/>
    <w:multiLevelType w:val="hybridMultilevel"/>
    <w:tmpl w:val="FF76F294"/>
    <w:lvl w:ilvl="0" w:tplc="A5E6F898">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3248E"/>
    <w:multiLevelType w:val="hybridMultilevel"/>
    <w:tmpl w:val="42229D14"/>
    <w:lvl w:ilvl="0" w:tplc="209A3BB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D43B7"/>
    <w:multiLevelType w:val="hybridMultilevel"/>
    <w:tmpl w:val="ABC09100"/>
    <w:lvl w:ilvl="0" w:tplc="2D44DA10">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B7EF3"/>
    <w:multiLevelType w:val="hybridMultilevel"/>
    <w:tmpl w:val="E722A2F0"/>
    <w:lvl w:ilvl="0" w:tplc="F0F0E144">
      <w:start w:val="1"/>
      <w:numFmt w:val="bullet"/>
      <w:lvlText w:val=""/>
      <w:lvlJc w:val="left"/>
      <w:pPr>
        <w:tabs>
          <w:tab w:val="num" w:pos="1267"/>
        </w:tabs>
        <w:ind w:left="1250" w:hanging="34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D7E3B"/>
    <w:multiLevelType w:val="singleLevel"/>
    <w:tmpl w:val="6B80ACBC"/>
    <w:lvl w:ilvl="0">
      <w:start w:val="1"/>
      <w:numFmt w:val="bullet"/>
      <w:pStyle w:val="MitBullets"/>
      <w:lvlText w:val=""/>
      <w:lvlJc w:val="left"/>
      <w:pPr>
        <w:tabs>
          <w:tab w:val="num" w:pos="700"/>
        </w:tabs>
        <w:ind w:left="700" w:hanging="360"/>
      </w:pPr>
      <w:rPr>
        <w:rFonts w:ascii="Symbol" w:hAnsi="Symbol" w:hint="default"/>
      </w:rPr>
    </w:lvl>
  </w:abstractNum>
  <w:abstractNum w:abstractNumId="6" w15:restartNumberingAfterBreak="0">
    <w:nsid w:val="1A7000F3"/>
    <w:multiLevelType w:val="hybridMultilevel"/>
    <w:tmpl w:val="2DB287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C746D"/>
    <w:multiLevelType w:val="hybridMultilevel"/>
    <w:tmpl w:val="959022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44FC6"/>
    <w:multiLevelType w:val="hybridMultilevel"/>
    <w:tmpl w:val="D0AAB22C"/>
    <w:lvl w:ilvl="0" w:tplc="B496606A">
      <w:start w:val="1"/>
      <w:numFmt w:val="bullet"/>
      <w:lvlText w:val=""/>
      <w:lvlJc w:val="left"/>
      <w:pPr>
        <w:tabs>
          <w:tab w:val="num" w:pos="360"/>
        </w:tabs>
        <w:ind w:left="57" w:hanging="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418B6"/>
    <w:multiLevelType w:val="hybridMultilevel"/>
    <w:tmpl w:val="427C23FE"/>
    <w:lvl w:ilvl="0" w:tplc="D5909108">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714DE"/>
    <w:multiLevelType w:val="hybridMultilevel"/>
    <w:tmpl w:val="68E0C3AE"/>
    <w:lvl w:ilvl="0" w:tplc="D5909108">
      <w:start w:val="1"/>
      <w:numFmt w:val="bullet"/>
      <w:lvlText w:val=""/>
      <w:lvlJc w:val="left"/>
      <w:pPr>
        <w:tabs>
          <w:tab w:val="num" w:pos="360"/>
        </w:tabs>
        <w:ind w:left="170" w:hanging="170"/>
      </w:pPr>
      <w:rPr>
        <w:rFonts w:ascii="Symbol" w:hAnsi="Symbol" w:hint="default"/>
      </w:rPr>
    </w:lvl>
    <w:lvl w:ilvl="1" w:tplc="8AE60D6C">
      <w:start w:val="1"/>
      <w:numFmt w:val="bullet"/>
      <w:lvlText w:val=""/>
      <w:lvlJc w:val="left"/>
      <w:pPr>
        <w:tabs>
          <w:tab w:val="num" w:pos="360"/>
        </w:tabs>
        <w:ind w:left="0" w:firstLine="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64017"/>
    <w:multiLevelType w:val="hybridMultilevel"/>
    <w:tmpl w:val="F45E46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B40E9"/>
    <w:multiLevelType w:val="hybridMultilevel"/>
    <w:tmpl w:val="E722A2F0"/>
    <w:lvl w:ilvl="0" w:tplc="4A78714E">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5428A7"/>
    <w:multiLevelType w:val="hybridMultilevel"/>
    <w:tmpl w:val="E722A2F0"/>
    <w:lvl w:ilvl="0" w:tplc="A5E6F898">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219B0"/>
    <w:multiLevelType w:val="hybridMultilevel"/>
    <w:tmpl w:val="79BA58E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DA796B"/>
    <w:multiLevelType w:val="hybridMultilevel"/>
    <w:tmpl w:val="427C23FE"/>
    <w:lvl w:ilvl="0" w:tplc="7E9CA6EE">
      <w:start w:val="1"/>
      <w:numFmt w:val="bullet"/>
      <w:lvlText w:val=""/>
      <w:lvlJc w:val="left"/>
      <w:pPr>
        <w:tabs>
          <w:tab w:val="num" w:pos="360"/>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C52D3"/>
    <w:multiLevelType w:val="hybridMultilevel"/>
    <w:tmpl w:val="8466E3FC"/>
    <w:lvl w:ilvl="0" w:tplc="A5E6F898">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36548"/>
    <w:multiLevelType w:val="hybridMultilevel"/>
    <w:tmpl w:val="E722A2F0"/>
    <w:lvl w:ilvl="0" w:tplc="E74283F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34E1E"/>
    <w:multiLevelType w:val="hybridMultilevel"/>
    <w:tmpl w:val="4378E838"/>
    <w:lvl w:ilvl="0" w:tplc="04070001">
      <w:start w:val="1"/>
      <w:numFmt w:val="bullet"/>
      <w:lvlText w:val=""/>
      <w:lvlJc w:val="left"/>
      <w:pPr>
        <w:tabs>
          <w:tab w:val="num" w:pos="650"/>
        </w:tabs>
        <w:ind w:left="650" w:hanging="360"/>
      </w:pPr>
      <w:rPr>
        <w:rFonts w:ascii="Symbol" w:hAnsi="Symbol" w:hint="default"/>
      </w:rPr>
    </w:lvl>
    <w:lvl w:ilvl="1" w:tplc="04070003" w:tentative="1">
      <w:start w:val="1"/>
      <w:numFmt w:val="bullet"/>
      <w:lvlText w:val="o"/>
      <w:lvlJc w:val="left"/>
      <w:pPr>
        <w:tabs>
          <w:tab w:val="num" w:pos="1370"/>
        </w:tabs>
        <w:ind w:left="1370" w:hanging="360"/>
      </w:pPr>
      <w:rPr>
        <w:rFonts w:ascii="Courier New" w:hAnsi="Courier New" w:hint="default"/>
      </w:rPr>
    </w:lvl>
    <w:lvl w:ilvl="2" w:tplc="04070005" w:tentative="1">
      <w:start w:val="1"/>
      <w:numFmt w:val="bullet"/>
      <w:lvlText w:val=""/>
      <w:lvlJc w:val="left"/>
      <w:pPr>
        <w:tabs>
          <w:tab w:val="num" w:pos="2090"/>
        </w:tabs>
        <w:ind w:left="2090" w:hanging="360"/>
      </w:pPr>
      <w:rPr>
        <w:rFonts w:ascii="Wingdings" w:hAnsi="Wingdings" w:hint="default"/>
      </w:rPr>
    </w:lvl>
    <w:lvl w:ilvl="3" w:tplc="04070001" w:tentative="1">
      <w:start w:val="1"/>
      <w:numFmt w:val="bullet"/>
      <w:lvlText w:val=""/>
      <w:lvlJc w:val="left"/>
      <w:pPr>
        <w:tabs>
          <w:tab w:val="num" w:pos="2810"/>
        </w:tabs>
        <w:ind w:left="2810" w:hanging="360"/>
      </w:pPr>
      <w:rPr>
        <w:rFonts w:ascii="Symbol" w:hAnsi="Symbol" w:hint="default"/>
      </w:rPr>
    </w:lvl>
    <w:lvl w:ilvl="4" w:tplc="04070003" w:tentative="1">
      <w:start w:val="1"/>
      <w:numFmt w:val="bullet"/>
      <w:lvlText w:val="o"/>
      <w:lvlJc w:val="left"/>
      <w:pPr>
        <w:tabs>
          <w:tab w:val="num" w:pos="3530"/>
        </w:tabs>
        <w:ind w:left="3530" w:hanging="360"/>
      </w:pPr>
      <w:rPr>
        <w:rFonts w:ascii="Courier New" w:hAnsi="Courier New" w:hint="default"/>
      </w:rPr>
    </w:lvl>
    <w:lvl w:ilvl="5" w:tplc="04070005" w:tentative="1">
      <w:start w:val="1"/>
      <w:numFmt w:val="bullet"/>
      <w:lvlText w:val=""/>
      <w:lvlJc w:val="left"/>
      <w:pPr>
        <w:tabs>
          <w:tab w:val="num" w:pos="4250"/>
        </w:tabs>
        <w:ind w:left="4250" w:hanging="360"/>
      </w:pPr>
      <w:rPr>
        <w:rFonts w:ascii="Wingdings" w:hAnsi="Wingdings" w:hint="default"/>
      </w:rPr>
    </w:lvl>
    <w:lvl w:ilvl="6" w:tplc="04070001" w:tentative="1">
      <w:start w:val="1"/>
      <w:numFmt w:val="bullet"/>
      <w:lvlText w:val=""/>
      <w:lvlJc w:val="left"/>
      <w:pPr>
        <w:tabs>
          <w:tab w:val="num" w:pos="4970"/>
        </w:tabs>
        <w:ind w:left="4970" w:hanging="360"/>
      </w:pPr>
      <w:rPr>
        <w:rFonts w:ascii="Symbol" w:hAnsi="Symbol" w:hint="default"/>
      </w:rPr>
    </w:lvl>
    <w:lvl w:ilvl="7" w:tplc="04070003" w:tentative="1">
      <w:start w:val="1"/>
      <w:numFmt w:val="bullet"/>
      <w:lvlText w:val="o"/>
      <w:lvlJc w:val="left"/>
      <w:pPr>
        <w:tabs>
          <w:tab w:val="num" w:pos="5690"/>
        </w:tabs>
        <w:ind w:left="5690" w:hanging="360"/>
      </w:pPr>
      <w:rPr>
        <w:rFonts w:ascii="Courier New" w:hAnsi="Courier New" w:hint="default"/>
      </w:rPr>
    </w:lvl>
    <w:lvl w:ilvl="8" w:tplc="0407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4D270B81"/>
    <w:multiLevelType w:val="hybridMultilevel"/>
    <w:tmpl w:val="E722A2F0"/>
    <w:lvl w:ilvl="0" w:tplc="CD7EE20C">
      <w:start w:val="1"/>
      <w:numFmt w:val="bullet"/>
      <w:lvlText w:val=""/>
      <w:lvlJc w:val="left"/>
      <w:pPr>
        <w:tabs>
          <w:tab w:val="num" w:pos="360"/>
        </w:tabs>
        <w:ind w:left="57" w:hanging="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E644E"/>
    <w:multiLevelType w:val="hybridMultilevel"/>
    <w:tmpl w:val="D0AAB22C"/>
    <w:lvl w:ilvl="0" w:tplc="45FAFD22">
      <w:start w:val="1"/>
      <w:numFmt w:val="bullet"/>
      <w:lvlText w:val=""/>
      <w:lvlJc w:val="left"/>
      <w:pPr>
        <w:tabs>
          <w:tab w:val="num" w:pos="36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748BC"/>
    <w:multiLevelType w:val="hybridMultilevel"/>
    <w:tmpl w:val="E722A2F0"/>
    <w:lvl w:ilvl="0" w:tplc="4B64A68A">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362DF"/>
    <w:multiLevelType w:val="hybridMultilevel"/>
    <w:tmpl w:val="911075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11E18"/>
    <w:multiLevelType w:val="hybridMultilevel"/>
    <w:tmpl w:val="427C23FE"/>
    <w:lvl w:ilvl="0" w:tplc="59568E18">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738B0"/>
    <w:multiLevelType w:val="hybridMultilevel"/>
    <w:tmpl w:val="427C23FE"/>
    <w:lvl w:ilvl="0" w:tplc="46882A78">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36E41"/>
    <w:multiLevelType w:val="hybridMultilevel"/>
    <w:tmpl w:val="1D7468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B7F94"/>
    <w:multiLevelType w:val="hybridMultilevel"/>
    <w:tmpl w:val="427C23FE"/>
    <w:lvl w:ilvl="0" w:tplc="19204A12">
      <w:start w:val="1"/>
      <w:numFmt w:val="bullet"/>
      <w:lvlText w:val=""/>
      <w:lvlJc w:val="left"/>
      <w:pPr>
        <w:tabs>
          <w:tab w:val="num" w:pos="720"/>
        </w:tabs>
        <w:ind w:left="720"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C4B5B"/>
    <w:multiLevelType w:val="hybridMultilevel"/>
    <w:tmpl w:val="681A12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42BF2"/>
    <w:multiLevelType w:val="hybridMultilevel"/>
    <w:tmpl w:val="6254C316"/>
    <w:lvl w:ilvl="0" w:tplc="A5E6F898">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E22A8C"/>
    <w:multiLevelType w:val="hybridMultilevel"/>
    <w:tmpl w:val="EDE88F82"/>
    <w:lvl w:ilvl="0" w:tplc="A5E6F898">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B72EB3"/>
    <w:multiLevelType w:val="hybridMultilevel"/>
    <w:tmpl w:val="ABC09100"/>
    <w:lvl w:ilvl="0" w:tplc="9BD609B0">
      <w:start w:val="1"/>
      <w:numFmt w:val="bullet"/>
      <w:lvlText w:val=""/>
      <w:lvlJc w:val="left"/>
      <w:pPr>
        <w:tabs>
          <w:tab w:val="num" w:pos="703"/>
        </w:tabs>
        <w:ind w:left="703" w:hanging="70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F7059"/>
    <w:multiLevelType w:val="hybridMultilevel"/>
    <w:tmpl w:val="D0AAB22C"/>
    <w:lvl w:ilvl="0" w:tplc="90AEE850">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101520"/>
    <w:multiLevelType w:val="hybridMultilevel"/>
    <w:tmpl w:val="2AF6A962"/>
    <w:lvl w:ilvl="0" w:tplc="3FE231CE">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0"/>
  </w:num>
  <w:num w:numId="4">
    <w:abstractNumId w:val="7"/>
  </w:num>
  <w:num w:numId="5">
    <w:abstractNumId w:val="11"/>
  </w:num>
  <w:num w:numId="6">
    <w:abstractNumId w:val="22"/>
  </w:num>
  <w:num w:numId="7">
    <w:abstractNumId w:val="27"/>
  </w:num>
  <w:num w:numId="8">
    <w:abstractNumId w:val="5"/>
  </w:num>
  <w:num w:numId="9">
    <w:abstractNumId w:val="10"/>
  </w:num>
  <w:num w:numId="10">
    <w:abstractNumId w:val="26"/>
  </w:num>
  <w:num w:numId="11">
    <w:abstractNumId w:val="9"/>
  </w:num>
  <w:num w:numId="12">
    <w:abstractNumId w:val="15"/>
  </w:num>
  <w:num w:numId="13">
    <w:abstractNumId w:val="23"/>
  </w:num>
  <w:num w:numId="14">
    <w:abstractNumId w:val="24"/>
  </w:num>
  <w:num w:numId="15">
    <w:abstractNumId w:val="4"/>
  </w:num>
  <w:num w:numId="16">
    <w:abstractNumId w:val="21"/>
  </w:num>
  <w:num w:numId="17">
    <w:abstractNumId w:val="12"/>
  </w:num>
  <w:num w:numId="18">
    <w:abstractNumId w:val="19"/>
  </w:num>
  <w:num w:numId="19">
    <w:abstractNumId w:val="17"/>
  </w:num>
  <w:num w:numId="20">
    <w:abstractNumId w:val="13"/>
  </w:num>
  <w:num w:numId="21">
    <w:abstractNumId w:val="32"/>
  </w:num>
  <w:num w:numId="22">
    <w:abstractNumId w:val="30"/>
  </w:num>
  <w:num w:numId="23">
    <w:abstractNumId w:val="3"/>
  </w:num>
  <w:num w:numId="24">
    <w:abstractNumId w:val="2"/>
  </w:num>
  <w:num w:numId="25">
    <w:abstractNumId w:val="31"/>
  </w:num>
  <w:num w:numId="26">
    <w:abstractNumId w:val="8"/>
  </w:num>
  <w:num w:numId="27">
    <w:abstractNumId w:val="20"/>
  </w:num>
  <w:num w:numId="28">
    <w:abstractNumId w:val="16"/>
  </w:num>
  <w:num w:numId="29">
    <w:abstractNumId w:val="29"/>
  </w:num>
  <w:num w:numId="30">
    <w:abstractNumId w:val="1"/>
  </w:num>
  <w:num w:numId="31">
    <w:abstractNumId w:val="28"/>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40C"/>
    <w:rsid w:val="00126655"/>
    <w:rsid w:val="0016641B"/>
    <w:rsid w:val="002C6662"/>
    <w:rsid w:val="005B7D80"/>
    <w:rsid w:val="007B1C09"/>
    <w:rsid w:val="009A340C"/>
    <w:rsid w:val="00BA0485"/>
    <w:rsid w:val="00BA1B66"/>
    <w:rsid w:val="00F152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6FEE312F"/>
  <w15:chartTrackingRefBased/>
  <w15:docId w15:val="{7B6DFBF0-3B9D-4D0D-BCAC-891A8C17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sz w:val="44"/>
    </w:rPr>
  </w:style>
  <w:style w:type="paragraph" w:styleId="berschrift2">
    <w:name w:val="heading 2"/>
    <w:basedOn w:val="Standard"/>
    <w:next w:val="Standard"/>
    <w:qFormat/>
    <w:pPr>
      <w:keepNext/>
      <w:jc w:val="center"/>
      <w:outlineLvl w:val="1"/>
    </w:pPr>
    <w:rPr>
      <w:b/>
      <w:bCs/>
      <w:sz w:val="24"/>
    </w:rPr>
  </w:style>
  <w:style w:type="paragraph" w:styleId="berschrift3">
    <w:name w:val="heading 3"/>
    <w:basedOn w:val="Standard"/>
    <w:next w:val="Standard"/>
    <w:qFormat/>
    <w:pPr>
      <w:keepNext/>
      <w:autoSpaceDE w:val="0"/>
      <w:autoSpaceDN w:val="0"/>
      <w:jc w:val="center"/>
      <w:outlineLvl w:val="2"/>
    </w:pPr>
    <w:rPr>
      <w:b/>
      <w:bCs/>
    </w:rPr>
  </w:style>
  <w:style w:type="paragraph" w:styleId="berschrift4">
    <w:name w:val="heading 4"/>
    <w:basedOn w:val="Standard"/>
    <w:next w:val="Standard"/>
    <w:qFormat/>
    <w:pPr>
      <w:keepNext/>
      <w:jc w:val="center"/>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autoSpaceDE w:val="0"/>
      <w:autoSpaceDN w:val="0"/>
    </w:pPr>
    <w:rPr>
      <w:szCs w:val="22"/>
    </w:rPr>
  </w:style>
  <w:style w:type="paragraph" w:styleId="Textkrper-Zeileneinzug">
    <w:name w:val="Body Text Indent"/>
    <w:basedOn w:val="Standard"/>
    <w:pPr>
      <w:autoSpaceDE w:val="0"/>
      <w:autoSpaceDN w:val="0"/>
      <w:spacing w:before="40" w:after="40"/>
      <w:ind w:left="176"/>
    </w:pPr>
    <w:rPr>
      <w:bCs/>
    </w:rPr>
  </w:style>
  <w:style w:type="paragraph" w:customStyle="1" w:styleId="MitBullets">
    <w:name w:val="MitBullets"/>
    <w:basedOn w:val="Standard"/>
    <w:pPr>
      <w:numPr>
        <w:numId w:val="8"/>
      </w:numPr>
      <w:tabs>
        <w:tab w:val="left" w:pos="170"/>
      </w:tabs>
      <w:spacing w:before="60"/>
    </w:pPr>
  </w:style>
  <w:style w:type="paragraph" w:styleId="Textkrper2">
    <w:name w:val="Body Text 2"/>
    <w:basedOn w:val="Standard"/>
  </w:style>
  <w:style w:type="paragraph" w:styleId="Fuzeile">
    <w:name w:val="footer"/>
    <w:basedOn w:val="Standard"/>
    <w:rsid w:val="002C6662"/>
    <w:pPr>
      <w:tabs>
        <w:tab w:val="center" w:pos="4536"/>
        <w:tab w:val="right" w:pos="9072"/>
      </w:tabs>
    </w:pPr>
    <w:rPr>
      <w:rFonts w:ascii="Times New Roman" w:hAnsi="Times New Roman"/>
      <w:sz w:val="24"/>
    </w:rPr>
  </w:style>
  <w:style w:type="paragraph" w:styleId="Kopfzeile">
    <w:name w:val="header"/>
    <w:basedOn w:val="Standard"/>
    <w:link w:val="KopfzeileZchn"/>
    <w:uiPriority w:val="99"/>
    <w:unhideWhenUsed/>
    <w:rsid w:val="007B1C09"/>
    <w:pPr>
      <w:tabs>
        <w:tab w:val="center" w:pos="4536"/>
        <w:tab w:val="right" w:pos="9072"/>
      </w:tabs>
    </w:pPr>
  </w:style>
  <w:style w:type="character" w:customStyle="1" w:styleId="KopfzeileZchn">
    <w:name w:val="Kopfzeile Zchn"/>
    <w:link w:val="Kopfzeile"/>
    <w:uiPriority w:val="99"/>
    <w:rsid w:val="007B1C0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Westfälische Wilhelms-Universität Münster</vt:lpstr>
    </vt:vector>
  </TitlesOfParts>
  <Company>Westfälische Wilhelms-Universität Münster</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Westfälische Wilhelms-Universität Münster</dc:title>
  <dc:subject/>
  <dc:creator>fu-ing-büro</dc:creator>
  <cp:keywords/>
  <dc:description/>
  <cp:lastModifiedBy>Renke Fuhrmann</cp:lastModifiedBy>
  <cp:revision>3</cp:revision>
  <cp:lastPrinted>2006-03-09T12:53:00Z</cp:lastPrinted>
  <dcterms:created xsi:type="dcterms:W3CDTF">2021-06-14T14:34:00Z</dcterms:created>
  <dcterms:modified xsi:type="dcterms:W3CDTF">2021-06-17T11:23:00Z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-419864367</vt:i4>
  </property>
  <property fmtid="{D5CDD505-2E9C-101B-9397-08002B2CF9AE}" pid="3" name="_EmailSubject">
    <vt:lpwstr>Intranet-Betriebsanweisungen</vt:lpwstr>
  </property>
  <property fmtid="{D5CDD505-2E9C-101B-9397-08002B2CF9AE}" pid="4" name="_AuthorEmail">
    <vt:lpwstr>claks@admin.uni-giessen.de</vt:lpwstr>
  </property>
  <property fmtid="{D5CDD505-2E9C-101B-9397-08002B2CF9AE}" pid="5" name="_AuthorEmailDisplayName">
    <vt:lpwstr>claks</vt:lpwstr>
  </property>
  <property fmtid="{D5CDD505-2E9C-101B-9397-08002B2CF9AE}" pid="6" name="_ReviewingToolsShownOnce">
    <vt:lpwstr/>
  </property>
</Properties>
</file>